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24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Кусочков Артем Анатольевич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13.09.1992 г.р., паспорт 5212 148109, выдан Отделом №1 УФМС России по Омской области в Центральном АО города Омска, 28.09.2012 г., зарегистрирован по адресу: Омская обл., г. Омск,ул. Съездовская,д.50, кв.14,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110/Ф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24.11.2025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110, 15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Тухачевского, № 18/2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Шестьсот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Кусочков Артем Анатольевич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А.А. Кусочков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